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40" w:lineRule="atLeast"/>
        <w:jc w:val="center"/>
        <w:rPr>
          <w:rFonts w:hint="eastAsia" w:ascii="微软雅黑" w:hAnsi="微软雅黑" w:eastAsia="微软雅黑" w:cs="微软雅黑"/>
          <w:sz w:val="27"/>
          <w:szCs w:val="27"/>
          <w:highlight w:val="none"/>
        </w:rPr>
      </w:pPr>
      <w:r>
        <w:rPr>
          <w:rFonts w:hint="eastAsia" w:ascii="微软雅黑" w:hAnsi="微软雅黑" w:eastAsia="微软雅黑" w:cs="微软雅黑"/>
          <w:sz w:val="27"/>
          <w:szCs w:val="27"/>
          <w:highlight w:val="none"/>
        </w:rPr>
        <w:t>河北渤天化化肥有限公司</w:t>
      </w:r>
    </w:p>
    <w:p>
      <w:pPr>
        <w:pStyle w:val="4"/>
        <w:widowControl/>
        <w:spacing w:beforeAutospacing="0" w:afterAutospacing="0" w:line="540" w:lineRule="atLeast"/>
        <w:jc w:val="center"/>
        <w:rPr>
          <w:rFonts w:ascii="微软雅黑" w:hAnsi="微软雅黑" w:eastAsia="微软雅黑" w:cs="微软雅黑"/>
          <w:sz w:val="27"/>
          <w:szCs w:val="27"/>
          <w:highlight w:val="none"/>
        </w:rPr>
      </w:pPr>
      <w:r>
        <w:rPr>
          <w:rFonts w:hint="eastAsia" w:ascii="微软雅黑" w:hAnsi="微软雅黑" w:eastAsia="微软雅黑" w:cs="微软雅黑"/>
          <w:sz w:val="27"/>
          <w:szCs w:val="27"/>
          <w:highlight w:val="none"/>
        </w:rPr>
        <w:t>年产70万吨复合肥和6万吨硫酸钾项目（一期工程）</w:t>
      </w:r>
    </w:p>
    <w:p>
      <w:pPr>
        <w:pStyle w:val="4"/>
        <w:widowControl/>
        <w:spacing w:beforeAutospacing="0" w:afterAutospacing="0" w:line="540" w:lineRule="atLeast"/>
        <w:jc w:val="center"/>
        <w:rPr>
          <w:sz w:val="27"/>
          <w:szCs w:val="27"/>
          <w:highlight w:val="none"/>
        </w:rPr>
      </w:pPr>
      <w:r>
        <w:rPr>
          <w:rFonts w:hint="eastAsia" w:ascii="微软雅黑" w:hAnsi="微软雅黑" w:eastAsia="微软雅黑" w:cs="微软雅黑"/>
          <w:sz w:val="27"/>
          <w:szCs w:val="27"/>
          <w:highlight w:val="none"/>
        </w:rPr>
        <w:t>职业病危害控制效果评价</w:t>
      </w:r>
    </w:p>
    <w:p>
      <w:pPr>
        <w:pStyle w:val="4"/>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highlight w:val="none"/>
        </w:rPr>
      </w:pPr>
      <w:r>
        <w:rPr>
          <w:rFonts w:hint="eastAsia" w:ascii="微软雅黑" w:hAnsi="微软雅黑" w:eastAsia="微软雅黑" w:cs="微软雅黑"/>
          <w:sz w:val="18"/>
          <w:szCs w:val="18"/>
          <w:highlight w:val="none"/>
        </w:rPr>
        <w:t>　　一、项目概况</w:t>
      </w:r>
    </w:p>
    <w:p>
      <w:pPr>
        <w:pStyle w:val="4"/>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highlight w:val="none"/>
        </w:rPr>
      </w:pPr>
      <w:r>
        <w:rPr>
          <w:rFonts w:hint="eastAsia" w:ascii="微软雅黑" w:hAnsi="微软雅黑" w:eastAsia="微软雅黑" w:cs="微软雅黑"/>
          <w:sz w:val="18"/>
          <w:szCs w:val="18"/>
          <w:highlight w:val="none"/>
        </w:rPr>
        <w:t>　　项目名称：河北渤天化化肥有限公司年产70万吨复合肥和6万吨硫酸钾项目（一期工程）</w:t>
      </w:r>
    </w:p>
    <w:p>
      <w:pPr>
        <w:pStyle w:val="4"/>
        <w:keepNext w:val="0"/>
        <w:keepLines w:val="0"/>
        <w:pageBreakBefore w:val="0"/>
        <w:widowControl/>
        <w:kinsoku/>
        <w:wordWrap/>
        <w:overflowPunct/>
        <w:topLinePunct w:val="0"/>
        <w:autoSpaceDE/>
        <w:autoSpaceDN/>
        <w:bidi w:val="0"/>
        <w:adjustRightInd/>
        <w:snapToGrid/>
        <w:spacing w:beforeAutospacing="0" w:afterAutospacing="0" w:line="380" w:lineRule="exact"/>
        <w:ind w:firstLine="360" w:firstLineChars="200"/>
        <w:textAlignment w:val="auto"/>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项目简介：项目性质</w:t>
      </w:r>
      <w:r>
        <w:rPr>
          <w:rFonts w:hint="eastAsia" w:ascii="微软雅黑" w:hAnsi="微软雅黑" w:eastAsia="微软雅黑" w:cs="微软雅黑"/>
          <w:sz w:val="18"/>
          <w:szCs w:val="18"/>
          <w:highlight w:val="none"/>
        </w:rPr>
        <w:tab/>
      </w:r>
      <w:r>
        <w:rPr>
          <w:rFonts w:hint="eastAsia" w:ascii="微软雅黑" w:hAnsi="微软雅黑" w:eastAsia="微软雅黑" w:cs="微软雅黑"/>
          <w:sz w:val="18"/>
          <w:szCs w:val="18"/>
          <w:highlight w:val="none"/>
        </w:rPr>
        <w:t>新建</w:t>
      </w:r>
    </w:p>
    <w:p>
      <w:pPr>
        <w:pStyle w:val="4"/>
        <w:keepNext w:val="0"/>
        <w:keepLines w:val="0"/>
        <w:pageBreakBefore w:val="0"/>
        <w:widowControl/>
        <w:kinsoku/>
        <w:wordWrap/>
        <w:overflowPunct/>
        <w:topLinePunct w:val="0"/>
        <w:autoSpaceDE/>
        <w:autoSpaceDN/>
        <w:bidi w:val="0"/>
        <w:adjustRightInd/>
        <w:snapToGrid/>
        <w:spacing w:beforeAutospacing="0" w:afterAutospacing="0" w:line="380" w:lineRule="exact"/>
        <w:ind w:firstLine="360" w:firstLineChars="200"/>
        <w:textAlignment w:val="auto"/>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项目总投资</w:t>
      </w:r>
      <w:r>
        <w:rPr>
          <w:rFonts w:hint="eastAsia" w:ascii="微软雅黑" w:hAnsi="微软雅黑" w:eastAsia="微软雅黑" w:cs="微软雅黑"/>
          <w:sz w:val="18"/>
          <w:szCs w:val="18"/>
          <w:highlight w:val="none"/>
        </w:rPr>
        <w:tab/>
      </w:r>
      <w:r>
        <w:rPr>
          <w:rFonts w:hint="eastAsia" w:ascii="微软雅黑" w:hAnsi="微软雅黑" w:eastAsia="微软雅黑" w:cs="微软雅黑"/>
          <w:sz w:val="18"/>
          <w:szCs w:val="18"/>
          <w:highlight w:val="none"/>
        </w:rPr>
        <w:t>32000万元</w:t>
      </w:r>
    </w:p>
    <w:p>
      <w:pPr>
        <w:pStyle w:val="4"/>
        <w:keepNext w:val="0"/>
        <w:keepLines w:val="0"/>
        <w:pageBreakBefore w:val="0"/>
        <w:widowControl/>
        <w:kinsoku/>
        <w:wordWrap/>
        <w:overflowPunct/>
        <w:topLinePunct w:val="0"/>
        <w:autoSpaceDE/>
        <w:autoSpaceDN/>
        <w:bidi w:val="0"/>
        <w:adjustRightInd/>
        <w:snapToGrid/>
        <w:spacing w:beforeAutospacing="0" w:afterAutospacing="0" w:line="380" w:lineRule="exact"/>
        <w:ind w:firstLine="360" w:firstLineChars="200"/>
        <w:textAlignment w:val="auto"/>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职业卫生投资</w:t>
      </w:r>
      <w:r>
        <w:rPr>
          <w:rFonts w:hint="eastAsia" w:ascii="微软雅黑" w:hAnsi="微软雅黑" w:eastAsia="微软雅黑" w:cs="微软雅黑"/>
          <w:sz w:val="18"/>
          <w:szCs w:val="18"/>
          <w:highlight w:val="none"/>
        </w:rPr>
        <w:tab/>
      </w:r>
      <w:r>
        <w:rPr>
          <w:rFonts w:hint="eastAsia" w:ascii="微软雅黑" w:hAnsi="微软雅黑" w:eastAsia="微软雅黑" w:cs="微软雅黑"/>
          <w:sz w:val="18"/>
          <w:szCs w:val="18"/>
          <w:highlight w:val="none"/>
        </w:rPr>
        <w:t>268.76万元</w:t>
      </w:r>
    </w:p>
    <w:p>
      <w:pPr>
        <w:pStyle w:val="4"/>
        <w:keepNext w:val="0"/>
        <w:keepLines w:val="0"/>
        <w:pageBreakBefore w:val="0"/>
        <w:widowControl/>
        <w:kinsoku/>
        <w:wordWrap/>
        <w:overflowPunct/>
        <w:topLinePunct w:val="0"/>
        <w:autoSpaceDE/>
        <w:autoSpaceDN/>
        <w:bidi w:val="0"/>
        <w:adjustRightInd/>
        <w:snapToGrid/>
        <w:spacing w:beforeAutospacing="0" w:afterAutospacing="0" w:line="380" w:lineRule="exact"/>
        <w:ind w:firstLine="360" w:firstLineChars="200"/>
        <w:textAlignment w:val="auto"/>
        <w:rPr>
          <w:highlight w:val="none"/>
        </w:rPr>
      </w:pPr>
      <w:r>
        <w:rPr>
          <w:rFonts w:hint="eastAsia" w:ascii="微软雅黑" w:hAnsi="微软雅黑" w:eastAsia="微软雅黑" w:cs="微软雅黑"/>
          <w:sz w:val="18"/>
          <w:szCs w:val="18"/>
          <w:highlight w:val="none"/>
        </w:rPr>
        <w:t>建设规模</w:t>
      </w:r>
      <w:r>
        <w:rPr>
          <w:rFonts w:hint="eastAsia" w:ascii="微软雅黑" w:hAnsi="微软雅黑" w:eastAsia="微软雅黑" w:cs="微软雅黑"/>
          <w:sz w:val="18"/>
          <w:szCs w:val="18"/>
          <w:highlight w:val="none"/>
        </w:rPr>
        <w:tab/>
      </w:r>
      <w:r>
        <w:rPr>
          <w:rFonts w:hint="eastAsia" w:ascii="微软雅黑" w:hAnsi="微软雅黑" w:eastAsia="微软雅黑" w:cs="微软雅黑"/>
          <w:sz w:val="18"/>
          <w:szCs w:val="18"/>
          <w:highlight w:val="none"/>
        </w:rPr>
        <w:t>年产高塔复合肥20万吨、硫酸钾复合肥10万吨、稳定性复合肥15万吨。</w:t>
      </w:r>
    </w:p>
    <w:p>
      <w:pPr>
        <w:pStyle w:val="4"/>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highlight w:val="none"/>
        </w:rPr>
      </w:pPr>
      <w:r>
        <w:rPr>
          <w:rFonts w:hint="eastAsia" w:ascii="微软雅黑" w:hAnsi="微软雅黑" w:eastAsia="微软雅黑" w:cs="微软雅黑"/>
          <w:sz w:val="18"/>
          <w:szCs w:val="18"/>
          <w:highlight w:val="none"/>
        </w:rPr>
        <w:t>　　二、项目组成员</w:t>
      </w:r>
    </w:p>
    <w:p>
      <w:pPr>
        <w:pStyle w:val="4"/>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eastAsia" w:eastAsia="微软雅黑"/>
          <w:highlight w:val="none"/>
          <w:lang w:val="en-US" w:eastAsia="zh-CN"/>
        </w:rPr>
      </w:pPr>
      <w:r>
        <w:rPr>
          <w:rFonts w:hint="eastAsia" w:ascii="微软雅黑" w:hAnsi="微软雅黑" w:eastAsia="微软雅黑" w:cs="微软雅黑"/>
          <w:sz w:val="18"/>
          <w:szCs w:val="18"/>
          <w:highlight w:val="none"/>
        </w:rPr>
        <w:t>　　项目负责人：</w:t>
      </w:r>
      <w:r>
        <w:rPr>
          <w:rFonts w:hint="eastAsia" w:ascii="微软雅黑" w:hAnsi="微软雅黑" w:eastAsia="微软雅黑" w:cs="微软雅黑"/>
          <w:sz w:val="18"/>
          <w:szCs w:val="18"/>
          <w:highlight w:val="none"/>
          <w:lang w:eastAsia="zh-CN"/>
        </w:rPr>
        <w:t>高利华</w:t>
      </w:r>
    </w:p>
    <w:p>
      <w:pPr>
        <w:pStyle w:val="4"/>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eastAsia" w:eastAsia="微软雅黑"/>
          <w:highlight w:val="none"/>
          <w:lang w:eastAsia="zh-CN"/>
        </w:rPr>
      </w:pPr>
      <w:r>
        <w:rPr>
          <w:rFonts w:hint="eastAsia" w:ascii="微软雅黑" w:hAnsi="微软雅黑" w:eastAsia="微软雅黑" w:cs="微软雅黑"/>
          <w:sz w:val="18"/>
          <w:szCs w:val="18"/>
          <w:highlight w:val="none"/>
        </w:rPr>
        <w:t>　　报告编制人：</w:t>
      </w:r>
      <w:r>
        <w:rPr>
          <w:rFonts w:hint="eastAsia" w:ascii="微软雅黑" w:hAnsi="微软雅黑" w:eastAsia="微软雅黑" w:cs="微软雅黑"/>
          <w:sz w:val="18"/>
          <w:szCs w:val="18"/>
          <w:highlight w:val="none"/>
          <w:lang w:eastAsia="zh-CN"/>
        </w:rPr>
        <w:t>刘盼</w:t>
      </w:r>
    </w:p>
    <w:p>
      <w:pPr>
        <w:pStyle w:val="4"/>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highlight w:val="none"/>
        </w:rPr>
      </w:pPr>
      <w:r>
        <w:rPr>
          <w:rFonts w:hint="eastAsia" w:ascii="微软雅黑" w:hAnsi="微软雅黑" w:eastAsia="微软雅黑" w:cs="微软雅黑"/>
          <w:sz w:val="18"/>
          <w:szCs w:val="18"/>
          <w:highlight w:val="none"/>
        </w:rPr>
        <w:t>　　评价组成员：刘盼、刘雪娇、孙玉燊</w:t>
      </w:r>
    </w:p>
    <w:p>
      <w:pPr>
        <w:pStyle w:val="4"/>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highlight w:val="none"/>
        </w:rPr>
      </w:pPr>
      <w:r>
        <w:rPr>
          <w:rFonts w:hint="eastAsia" w:ascii="微软雅黑" w:hAnsi="微软雅黑" w:eastAsia="微软雅黑" w:cs="微软雅黑"/>
          <w:sz w:val="18"/>
          <w:szCs w:val="18"/>
          <w:highlight w:val="none"/>
        </w:rPr>
        <w:t>　　三、职业病危害因素识别及检测结果</w:t>
      </w:r>
    </w:p>
    <w:p>
      <w:pPr>
        <w:pStyle w:val="4"/>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highlight w:val="none"/>
        </w:rPr>
      </w:pPr>
      <w:r>
        <w:rPr>
          <w:rFonts w:hint="eastAsia" w:ascii="微软雅黑" w:hAnsi="微软雅黑" w:eastAsia="微软雅黑" w:cs="微软雅黑"/>
          <w:sz w:val="18"/>
          <w:szCs w:val="18"/>
          <w:highlight w:val="none"/>
        </w:rPr>
        <w:t>　　(1)职业病危害因素</w:t>
      </w:r>
    </w:p>
    <w:p>
      <w:pPr>
        <w:pStyle w:val="4"/>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highlight w:val="none"/>
        </w:rPr>
      </w:pPr>
      <w:r>
        <w:rPr>
          <w:rFonts w:hint="eastAsia" w:ascii="微软雅黑" w:hAnsi="微软雅黑" w:eastAsia="微软雅黑" w:cs="微软雅黑"/>
          <w:sz w:val="18"/>
          <w:szCs w:val="18"/>
          <w:highlight w:val="none"/>
        </w:rPr>
        <w:t>　　该建设项目可能存在的职业病危害因素有：高温、噪声</w:t>
      </w:r>
      <w:r>
        <w:rPr>
          <w:rFonts w:hint="eastAsia" w:ascii="微软雅黑" w:hAnsi="微软雅黑" w:eastAsia="微软雅黑" w:cs="微软雅黑"/>
          <w:sz w:val="18"/>
          <w:szCs w:val="18"/>
          <w:highlight w:val="none"/>
          <w:lang w:eastAsia="zh-CN"/>
        </w:rPr>
        <w:t>、</w:t>
      </w:r>
      <w:r>
        <w:rPr>
          <w:rFonts w:hint="eastAsia" w:ascii="微软雅黑" w:hAnsi="微软雅黑" w:eastAsia="微软雅黑" w:cs="微软雅黑"/>
          <w:sz w:val="18"/>
          <w:szCs w:val="18"/>
          <w:highlight w:val="none"/>
        </w:rPr>
        <w:t>其他粉尘</w:t>
      </w:r>
      <w:r>
        <w:rPr>
          <w:rFonts w:hint="eastAsia" w:ascii="微软雅黑" w:hAnsi="微软雅黑" w:eastAsia="微软雅黑" w:cs="微软雅黑"/>
          <w:sz w:val="18"/>
          <w:szCs w:val="18"/>
          <w:highlight w:val="none"/>
          <w:lang w:eastAsia="zh-CN"/>
        </w:rPr>
        <w:t>、</w:t>
      </w:r>
      <w:r>
        <w:rPr>
          <w:rFonts w:hint="eastAsia" w:ascii="微软雅黑" w:hAnsi="微软雅黑" w:eastAsia="微软雅黑" w:cs="微软雅黑"/>
          <w:sz w:val="18"/>
          <w:szCs w:val="18"/>
          <w:highlight w:val="none"/>
        </w:rPr>
        <w:t>硫酸、氨、尿素。</w:t>
      </w:r>
    </w:p>
    <w:p>
      <w:pPr>
        <w:pStyle w:val="4"/>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highlight w:val="none"/>
        </w:rPr>
      </w:pPr>
      <w:r>
        <w:rPr>
          <w:rFonts w:hint="eastAsia" w:ascii="微软雅黑" w:hAnsi="微软雅黑" w:eastAsia="微软雅黑" w:cs="微软雅黑"/>
          <w:sz w:val="18"/>
          <w:szCs w:val="18"/>
          <w:highlight w:val="none"/>
        </w:rPr>
        <w:t>　　(2)职业病危害因素检测结果</w:t>
      </w:r>
    </w:p>
    <w:p>
      <w:pPr>
        <w:pStyle w:val="4"/>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highlight w:val="none"/>
        </w:rPr>
      </w:pPr>
      <w:r>
        <w:rPr>
          <w:rFonts w:hint="eastAsia" w:ascii="微软雅黑" w:hAnsi="微软雅黑" w:eastAsia="微软雅黑" w:cs="微软雅黑"/>
          <w:sz w:val="18"/>
          <w:szCs w:val="18"/>
          <w:highlight w:val="none"/>
        </w:rPr>
        <w:t>　　本次职业病危害因素检测结果均符合国家相关限值要求。</w:t>
      </w:r>
    </w:p>
    <w:p>
      <w:pPr>
        <w:pStyle w:val="4"/>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highlight w:val="none"/>
        </w:rPr>
      </w:pPr>
      <w:r>
        <w:rPr>
          <w:rFonts w:hint="eastAsia" w:ascii="微软雅黑" w:hAnsi="微软雅黑" w:eastAsia="微软雅黑" w:cs="微软雅黑"/>
          <w:sz w:val="18"/>
          <w:szCs w:val="18"/>
          <w:highlight w:val="none"/>
        </w:rPr>
        <w:t>　　四、评价结论</w:t>
      </w:r>
    </w:p>
    <w:p>
      <w:pPr>
        <w:pStyle w:val="4"/>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　　根据《国民经济行业分类》（按第1号修改单修订）（GB/T4754-2017），该项目属于化学原料和化学制品制造业--肥料制造--复混肥料制造，行业分类代码C2624。</w:t>
      </w:r>
    </w:p>
    <w:p>
      <w:pPr>
        <w:pStyle w:val="4"/>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根据《国家卫生健康委办公厅关于公布建设项目职业病危害风险分类管理目录的通知》（国卫办职健发〔2021〕5号），肥料制造的职业病危害风险分类为严重。</w:t>
      </w:r>
    </w:p>
    <w:p>
      <w:pPr>
        <w:pStyle w:val="4"/>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highlight w:val="none"/>
        </w:rPr>
      </w:pPr>
      <w:r>
        <w:rPr>
          <w:rFonts w:hint="eastAsia" w:ascii="微软雅黑" w:hAnsi="微软雅黑" w:eastAsia="微软雅黑" w:cs="微软雅黑"/>
          <w:sz w:val="18"/>
          <w:szCs w:val="18"/>
          <w:highlight w:val="none"/>
        </w:rPr>
        <w:t>结合该项目的实际情况及风险分类，综合分析判定：河北渤天化化肥有限公司年产70万吨复合肥和6万吨硫酸钾项目（一期工程）的职业病危害风险分类为严重。</w:t>
      </w:r>
    </w:p>
    <w:p>
      <w:pPr>
        <w:pStyle w:val="4"/>
        <w:keepNext w:val="0"/>
        <w:keepLines w:val="0"/>
        <w:pageBreakBefore w:val="0"/>
        <w:widowControl/>
        <w:kinsoku/>
        <w:wordWrap/>
        <w:overflowPunct/>
        <w:topLinePunct w:val="0"/>
        <w:autoSpaceDE/>
        <w:autoSpaceDN/>
        <w:bidi w:val="0"/>
        <w:adjustRightInd/>
        <w:snapToGrid/>
        <w:spacing w:beforeAutospacing="0" w:afterAutospacing="0" w:line="380" w:lineRule="exact"/>
        <w:ind w:firstLine="360" w:firstLineChars="200"/>
        <w:textAlignment w:val="auto"/>
        <w:rPr>
          <w:highlight w:val="none"/>
        </w:rPr>
      </w:pPr>
      <w:r>
        <w:rPr>
          <w:rFonts w:hint="eastAsia" w:ascii="微软雅黑" w:hAnsi="微软雅黑" w:eastAsia="微软雅黑" w:cs="微软雅黑"/>
          <w:sz w:val="18"/>
          <w:szCs w:val="18"/>
          <w:highlight w:val="none"/>
        </w:rPr>
        <w:t>通过对该项目职业病危害控制效果分析与评价，建设项目职业病防护设施与主体工程同时设计、同时施工、同时投入生产和使用；该项目当前采取的防护措施、职业病危害控制效果满足国家和地方对职业病防治方面法律、法规、标准的要求，具备了职业病防护设施竣工验收条件。建设项目在将来正常生产过程中，严格落实设计的职业病防护设施以及采取了控制效果评价报告所提措施和建议的情况下，职业病危害因素的浓度和强度能够符合国家和地方对职业病防治方面法律、法规、标准的要求。</w:t>
      </w:r>
    </w:p>
    <w:p>
      <w:pPr>
        <w:pStyle w:val="4"/>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highlight w:val="none"/>
        </w:rPr>
      </w:pPr>
      <w:r>
        <w:rPr>
          <w:rFonts w:hint="eastAsia" w:ascii="微软雅黑" w:hAnsi="微软雅黑" w:eastAsia="微软雅黑" w:cs="微软雅黑"/>
          <w:sz w:val="18"/>
          <w:szCs w:val="18"/>
          <w:highlight w:val="none"/>
        </w:rPr>
        <w:t>　　五、专家组评审意见</w:t>
      </w:r>
    </w:p>
    <w:p>
      <w:pPr>
        <w:pStyle w:val="4"/>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highlight w:val="none"/>
        </w:rPr>
      </w:pPr>
      <w:r>
        <w:rPr>
          <w:rFonts w:hint="eastAsia" w:ascii="微软雅黑" w:hAnsi="微软雅黑" w:eastAsia="微软雅黑" w:cs="微软雅黑"/>
          <w:sz w:val="18"/>
          <w:szCs w:val="18"/>
          <w:highlight w:val="none"/>
        </w:rPr>
        <w:t>　　该项目于20</w:t>
      </w:r>
      <w:r>
        <w:rPr>
          <w:rFonts w:hint="eastAsia" w:ascii="微软雅黑" w:hAnsi="微软雅黑" w:eastAsia="微软雅黑" w:cs="微软雅黑"/>
          <w:sz w:val="18"/>
          <w:szCs w:val="18"/>
          <w:highlight w:val="none"/>
          <w:lang w:val="en-US" w:eastAsia="zh-CN"/>
        </w:rPr>
        <w:t>22</w:t>
      </w:r>
      <w:r>
        <w:rPr>
          <w:rFonts w:hint="eastAsia" w:ascii="微软雅黑" w:hAnsi="微软雅黑" w:eastAsia="微软雅黑" w:cs="微软雅黑"/>
          <w:sz w:val="18"/>
          <w:szCs w:val="18"/>
          <w:highlight w:val="none"/>
        </w:rPr>
        <w:t>年</w:t>
      </w:r>
      <w:r>
        <w:rPr>
          <w:rFonts w:hint="eastAsia" w:ascii="微软雅黑" w:hAnsi="微软雅黑" w:eastAsia="微软雅黑" w:cs="微软雅黑"/>
          <w:sz w:val="18"/>
          <w:szCs w:val="18"/>
          <w:highlight w:val="none"/>
          <w:lang w:val="en-US" w:eastAsia="zh-CN"/>
        </w:rPr>
        <w:t>4</w:t>
      </w:r>
      <w:r>
        <w:rPr>
          <w:rFonts w:hint="eastAsia" w:ascii="微软雅黑" w:hAnsi="微软雅黑" w:eastAsia="微软雅黑" w:cs="微软雅黑"/>
          <w:sz w:val="18"/>
          <w:szCs w:val="18"/>
          <w:highlight w:val="none"/>
        </w:rPr>
        <w:t>月</w:t>
      </w:r>
      <w:r>
        <w:rPr>
          <w:rFonts w:hint="eastAsia" w:ascii="微软雅黑" w:hAnsi="微软雅黑" w:eastAsia="微软雅黑" w:cs="微软雅黑"/>
          <w:sz w:val="18"/>
          <w:szCs w:val="18"/>
          <w:highlight w:val="none"/>
          <w:lang w:val="en-US" w:eastAsia="zh-CN"/>
        </w:rPr>
        <w:t>28日</w:t>
      </w:r>
      <w:r>
        <w:rPr>
          <w:rFonts w:hint="eastAsia" w:ascii="微软雅黑" w:hAnsi="微软雅黑" w:eastAsia="微软雅黑" w:cs="微软雅黑"/>
          <w:sz w:val="18"/>
          <w:szCs w:val="18"/>
          <w:highlight w:val="none"/>
        </w:rPr>
        <w:t>通过专家评审，报告基本符合《中华人民共和国职业病防治法》及有关法规、规范和标准的要求，评价结论正确;专家组同意通过《评价报告》，《评价报告》按专家意见修改完善，经专家组长复核确认后可通过评审。</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1MjE2NTllZTg2N2RiM2E2YTgyNGY2OWVmZjg3ODIifQ=="/>
  </w:docVars>
  <w:rsids>
    <w:rsidRoot w:val="72593FB0"/>
    <w:rsid w:val="006B539D"/>
    <w:rsid w:val="007D721A"/>
    <w:rsid w:val="008778D7"/>
    <w:rsid w:val="00F61CE3"/>
    <w:rsid w:val="01D514B8"/>
    <w:rsid w:val="096B48DC"/>
    <w:rsid w:val="3144545F"/>
    <w:rsid w:val="5AC24B0C"/>
    <w:rsid w:val="606B570B"/>
    <w:rsid w:val="63F27D62"/>
    <w:rsid w:val="72593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1161</Words>
  <Characters>1204</Characters>
  <Lines>7</Lines>
  <Paragraphs>2</Paragraphs>
  <TotalTime>43</TotalTime>
  <ScaleCrop>false</ScaleCrop>
  <LinksUpToDate>false</LinksUpToDate>
  <CharactersWithSpaces>1234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2017-12-14T01:43:00Z</dcterms:created>
  <dc:creator>Administrator</dc:creator>
  <cp:lastModifiedBy>球球在这儿。</cp:lastModifiedBy>
  <dcterms:modified xsi:type="dcterms:W3CDTF">2023-02-02T07:33:17Z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959751E7D82140D1AAD8D642A22A37D9</vt:lpwstr>
  </property>
</Properties>
</file>