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40" w:lineRule="atLeast"/>
        <w:jc w:val="center"/>
        <w:rPr>
          <w:rFonts w:ascii="微软雅黑" w:hAnsi="微软雅黑" w:eastAsia="微软雅黑" w:cs="微软雅黑"/>
          <w:color w:val="666666"/>
          <w:sz w:val="27"/>
          <w:szCs w:val="27"/>
          <w:highlight w:val="none"/>
        </w:rPr>
      </w:pPr>
      <w:r>
        <w:rPr>
          <w:rFonts w:hint="eastAsia" w:ascii="微软雅黑" w:hAnsi="微软雅黑" w:eastAsia="微软雅黑" w:cs="微软雅黑"/>
          <w:color w:val="666666"/>
          <w:sz w:val="27"/>
          <w:szCs w:val="27"/>
          <w:highlight w:val="none"/>
        </w:rPr>
        <w:t>河北华药环境保护研究所有限公司职业病危害现状评价</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一、用人单位概况</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用人单位名称：河北华药环境保护研究所有限公司</w:t>
      </w:r>
    </w:p>
    <w:p>
      <w:pPr>
        <w:pStyle w:val="5"/>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用人单位介绍：</w:t>
      </w:r>
      <w:r>
        <w:rPr>
          <w:rFonts w:hint="eastAsia" w:ascii="微软雅黑" w:hAnsi="微软雅黑" w:eastAsia="微软雅黑" w:cs="微软雅黑"/>
          <w:color w:val="666666"/>
          <w:sz w:val="18"/>
          <w:szCs w:val="18"/>
          <w:highlight w:val="none"/>
          <w:lang w:eastAsia="zh-CN"/>
        </w:rPr>
        <w:t>河北华药环境保护研究所有限公司成立于</w:t>
      </w:r>
      <w:r>
        <w:rPr>
          <w:rFonts w:hint="eastAsia" w:ascii="微软雅黑" w:hAnsi="微软雅黑" w:eastAsia="微软雅黑" w:cs="微软雅黑"/>
          <w:color w:val="666666"/>
          <w:sz w:val="18"/>
          <w:szCs w:val="18"/>
          <w:highlight w:val="none"/>
        </w:rPr>
        <w:t>1990年12月19日</w:t>
      </w:r>
      <w:r>
        <w:rPr>
          <w:rFonts w:hint="eastAsia" w:ascii="微软雅黑" w:hAnsi="微软雅黑" w:eastAsia="微软雅黑" w:cs="微软雅黑"/>
          <w:color w:val="666666"/>
          <w:sz w:val="18"/>
          <w:szCs w:val="18"/>
          <w:highlight w:val="none"/>
          <w:lang w:eastAsia="zh-CN"/>
        </w:rPr>
        <w:t>，注册资金为</w:t>
      </w:r>
      <w:r>
        <w:rPr>
          <w:rFonts w:hint="eastAsia" w:ascii="微软雅黑" w:hAnsi="微软雅黑" w:eastAsia="微软雅黑" w:cs="微软雅黑"/>
          <w:color w:val="666666"/>
          <w:sz w:val="18"/>
          <w:szCs w:val="18"/>
          <w:highlight w:val="none"/>
        </w:rPr>
        <w:t>987.11万元</w:t>
      </w:r>
      <w:r>
        <w:rPr>
          <w:rFonts w:hint="eastAsia" w:ascii="微软雅黑" w:hAnsi="微软雅黑" w:eastAsia="微软雅黑" w:cs="微软雅黑"/>
          <w:color w:val="666666"/>
          <w:sz w:val="18"/>
          <w:szCs w:val="18"/>
          <w:highlight w:val="none"/>
          <w:lang w:eastAsia="zh-CN"/>
        </w:rPr>
        <w:t>，</w:t>
      </w:r>
      <w:r>
        <w:rPr>
          <w:rFonts w:hint="eastAsia" w:ascii="微软雅黑" w:hAnsi="微软雅黑" w:eastAsia="微软雅黑" w:cs="微软雅黑"/>
          <w:color w:val="666666"/>
          <w:sz w:val="18"/>
          <w:szCs w:val="18"/>
          <w:highlight w:val="none"/>
        </w:rPr>
        <w:t>地址</w:t>
      </w:r>
      <w:r>
        <w:rPr>
          <w:rFonts w:hint="eastAsia" w:ascii="微软雅黑" w:hAnsi="微软雅黑" w:eastAsia="微软雅黑" w:cs="微软雅黑"/>
          <w:color w:val="666666"/>
          <w:sz w:val="18"/>
          <w:szCs w:val="18"/>
          <w:highlight w:val="none"/>
          <w:lang w:eastAsia="zh-CN"/>
        </w:rPr>
        <w:t>位于</w:t>
      </w:r>
      <w:r>
        <w:rPr>
          <w:rFonts w:hint="eastAsia" w:ascii="微软雅黑" w:hAnsi="微软雅黑" w:eastAsia="微软雅黑" w:cs="微软雅黑"/>
          <w:color w:val="666666"/>
          <w:sz w:val="18"/>
          <w:szCs w:val="18"/>
          <w:highlight w:val="none"/>
        </w:rPr>
        <w:t>石家庄经济技术开发区世纪大道29号</w:t>
      </w:r>
      <w:r>
        <w:rPr>
          <w:rFonts w:hint="eastAsia" w:ascii="微软雅黑" w:hAnsi="微软雅黑" w:eastAsia="微软雅黑" w:cs="微软雅黑"/>
          <w:color w:val="666666"/>
          <w:sz w:val="18"/>
          <w:szCs w:val="18"/>
          <w:highlight w:val="none"/>
          <w:lang w:eastAsia="zh-CN"/>
        </w:rPr>
        <w:t>。经营范围：环保工程设计、施工；环保技术咨询、技术转让、技术服务；软件开发、销售；大气污染治理；废气治理；环境保护监测服务；质检技术服务；编制可行性研究报告；污水处理、再生水利用和污泥处置设施的运营管理、维护、及技术研发、技术咨询、技术推广、技术服务；环保设备、建筑材料、化工产品（化学危险品及易制毒品除外）销售。</w:t>
      </w:r>
      <w:r>
        <w:rPr>
          <w:rFonts w:hint="eastAsia" w:ascii="微软雅黑" w:hAnsi="微软雅黑" w:eastAsia="微软雅黑" w:cs="微软雅黑"/>
          <w:color w:val="666666"/>
          <w:sz w:val="18"/>
          <w:szCs w:val="18"/>
          <w:highlight w:val="none"/>
        </w:rPr>
        <w:t>一车间设计生产能力年处理污水年365×104m3；二车间设计生产能力年处理污水</w:t>
      </w:r>
      <w:r>
        <w:rPr>
          <w:rFonts w:hint="eastAsia" w:ascii="微软雅黑" w:hAnsi="微软雅黑" w:eastAsia="微软雅黑" w:cs="微软雅黑"/>
          <w:color w:val="666666"/>
          <w:sz w:val="18"/>
          <w:szCs w:val="18"/>
          <w:highlight w:val="none"/>
          <w:lang w:val="en-US" w:eastAsia="zh-CN"/>
        </w:rPr>
        <w:t>341</w:t>
      </w:r>
      <w:r>
        <w:rPr>
          <w:rFonts w:hint="eastAsia" w:ascii="微软雅黑" w:hAnsi="微软雅黑" w:eastAsia="微软雅黑" w:cs="微软雅黑"/>
          <w:color w:val="666666"/>
          <w:sz w:val="18"/>
          <w:szCs w:val="18"/>
          <w:highlight w:val="none"/>
        </w:rPr>
        <w:t>×104m3，</w:t>
      </w:r>
      <w:r>
        <w:rPr>
          <w:rFonts w:hint="eastAsia" w:ascii="微软雅黑" w:hAnsi="微软雅黑" w:eastAsia="微软雅黑" w:cs="微软雅黑"/>
          <w:color w:val="666666"/>
          <w:sz w:val="18"/>
          <w:szCs w:val="18"/>
          <w:highlight w:val="none"/>
          <w:lang w:eastAsia="zh-CN"/>
        </w:rPr>
        <w:t>两</w:t>
      </w:r>
      <w:r>
        <w:rPr>
          <w:rFonts w:hint="eastAsia" w:ascii="微软雅黑" w:hAnsi="微软雅黑" w:eastAsia="微软雅黑" w:cs="微软雅黑"/>
          <w:color w:val="666666"/>
          <w:sz w:val="18"/>
          <w:szCs w:val="18"/>
          <w:highlight w:val="none"/>
        </w:rPr>
        <w:t>个车间的实际生产能力与设计能力相同。</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二、评价组成员</w:t>
      </w:r>
    </w:p>
    <w:p>
      <w:pPr>
        <w:pStyle w:val="5"/>
        <w:widowControl/>
        <w:spacing w:beforeAutospacing="0" w:afterAutospacing="0" w:line="360" w:lineRule="exact"/>
        <w:rPr>
          <w:rFonts w:hint="eastAsia" w:ascii="微软雅黑" w:hAnsi="微软雅黑" w:eastAsia="微软雅黑" w:cs="微软雅黑"/>
          <w:color w:val="666666"/>
          <w:sz w:val="18"/>
          <w:szCs w:val="18"/>
          <w:highlight w:val="none"/>
          <w:lang w:val="en-US" w:eastAsia="zh-CN"/>
        </w:rPr>
      </w:pPr>
      <w:r>
        <w:rPr>
          <w:rFonts w:hint="eastAsia" w:ascii="微软雅黑" w:hAnsi="微软雅黑" w:eastAsia="微软雅黑" w:cs="微软雅黑"/>
          <w:color w:val="666666"/>
          <w:sz w:val="18"/>
          <w:szCs w:val="18"/>
          <w:highlight w:val="none"/>
        </w:rPr>
        <w:t>　　项目负责人：</w:t>
      </w:r>
      <w:r>
        <w:rPr>
          <w:rFonts w:hint="eastAsia" w:ascii="微软雅黑" w:hAnsi="微软雅黑" w:eastAsia="微软雅黑" w:cs="微软雅黑"/>
          <w:color w:val="666666"/>
          <w:sz w:val="18"/>
          <w:szCs w:val="18"/>
          <w:highlight w:val="none"/>
          <w:lang w:eastAsia="zh-CN"/>
        </w:rPr>
        <w:t>李振现</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评价组成员：</w:t>
      </w:r>
      <w:r>
        <w:rPr>
          <w:rFonts w:hint="eastAsia" w:ascii="微软雅黑" w:hAnsi="微软雅黑" w:eastAsia="微软雅黑" w:cs="微软雅黑"/>
          <w:color w:val="666666"/>
          <w:sz w:val="18"/>
          <w:szCs w:val="18"/>
          <w:highlight w:val="none"/>
          <w:lang w:eastAsia="zh-CN"/>
        </w:rPr>
        <w:t>孙肖华</w:t>
      </w:r>
      <w:r>
        <w:rPr>
          <w:rFonts w:hint="eastAsia" w:ascii="微软雅黑" w:hAnsi="微软雅黑" w:eastAsia="微软雅黑" w:cs="微软雅黑"/>
          <w:color w:val="666666"/>
          <w:sz w:val="18"/>
          <w:szCs w:val="18"/>
          <w:highlight w:val="none"/>
        </w:rPr>
        <w:t>、刘雪娇、孙玉燊</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三、用人单位存在的职业病危害因素及检测结果</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(1)职业病危害因素识别</w:t>
      </w:r>
    </w:p>
    <w:p>
      <w:pPr>
        <w:pStyle w:val="5"/>
        <w:widowControl/>
        <w:spacing w:beforeAutospacing="0" w:afterAutospacing="0" w:line="360" w:lineRule="exact"/>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通过从生产(运行)工艺过程、劳动过程、生产环境三方面对该公司工作场所内产生/存在的职业病危害因素进行识别与分析，得出结论，本次评价的主要职业病危害因素为：噪声、氢氧化钠、硫化氢、氨</w:t>
      </w:r>
      <w:r>
        <w:rPr>
          <w:rFonts w:hint="eastAsia" w:ascii="微软雅黑" w:hAnsi="微软雅黑" w:eastAsia="微软雅黑" w:cs="微软雅黑"/>
          <w:color w:val="666666"/>
          <w:sz w:val="18"/>
          <w:szCs w:val="18"/>
          <w:highlight w:val="none"/>
          <w:lang w:eastAsia="zh-CN"/>
        </w:rPr>
        <w:t>、硫酸</w:t>
      </w:r>
      <w:r>
        <w:rPr>
          <w:rFonts w:hint="eastAsia" w:ascii="微软雅黑" w:hAnsi="微软雅黑" w:eastAsia="微软雅黑" w:cs="微软雅黑"/>
          <w:color w:val="666666"/>
          <w:sz w:val="18"/>
          <w:szCs w:val="18"/>
          <w:highlight w:val="none"/>
        </w:rPr>
        <w:t>。</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(2)职业病危害因素检测结果</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检测结果均符合职业接触限值要求。</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四、评价结论</w:t>
      </w:r>
    </w:p>
    <w:p>
      <w:pPr>
        <w:pStyle w:val="5"/>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lang w:val="en-US" w:eastAsia="zh-CN"/>
        </w:rPr>
        <w:t>依据《国民经济行业分类》(按第1号修改单修订)（GB/T4754-2017）属于“电力、热力、燃气及水生产和供应业-水的生产和供应业-污水处理及其再生利用”</w:t>
      </w:r>
    </w:p>
    <w:p>
      <w:pPr>
        <w:pStyle w:val="5"/>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lang w:val="en-US" w:eastAsia="zh-CN"/>
        </w:rPr>
      </w:pPr>
      <w:r>
        <w:rPr>
          <w:rFonts w:hint="eastAsia" w:ascii="微软雅黑" w:hAnsi="微软雅黑" w:eastAsia="微软雅黑" w:cs="微软雅黑"/>
          <w:color w:val="666666"/>
          <w:sz w:val="18"/>
          <w:szCs w:val="18"/>
          <w:highlight w:val="none"/>
          <w:lang w:val="en-US" w:eastAsia="zh-CN"/>
        </w:rPr>
        <w:t>依据《国家卫生健康委办公厅关于公布建设项目职业病危害风险分类管理目录的通知》（国卫办职健发〔2021〕5号）规定，该企业属于：四（三）D46水的生产和供应业-D462污水处理及其再生利用，其风险分类为一般。根据实际工作和接触的危害因素，及其预测职业病危害因素浓度情况，综合分析判定：河北华药环境保护研究所有限公司的职业病危害风险分类为一般。</w:t>
      </w:r>
    </w:p>
    <w:p>
      <w:pPr>
        <w:pStyle w:val="5"/>
        <w:widowControl/>
        <w:spacing w:beforeAutospacing="0" w:afterAutospacing="0" w:line="360" w:lineRule="exact"/>
        <w:ind w:firstLine="360" w:firstLineChars="200"/>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结合该公司的实际情况及风险分类，最终判定，河北华药环境保护研究所有限公司职业病危害风险分类为</w:t>
      </w:r>
      <w:r>
        <w:rPr>
          <w:rFonts w:hint="eastAsia" w:ascii="微软雅黑" w:hAnsi="微软雅黑" w:eastAsia="微软雅黑" w:cs="微软雅黑"/>
          <w:color w:val="666666"/>
          <w:sz w:val="18"/>
          <w:szCs w:val="18"/>
          <w:highlight w:val="none"/>
          <w:lang w:eastAsia="zh-CN"/>
        </w:rPr>
        <w:t>一般</w:t>
      </w:r>
      <w:r>
        <w:rPr>
          <w:rFonts w:hint="eastAsia" w:ascii="微软雅黑" w:hAnsi="微软雅黑" w:eastAsia="微软雅黑" w:cs="微软雅黑"/>
          <w:color w:val="666666"/>
          <w:sz w:val="18"/>
          <w:szCs w:val="18"/>
          <w:highlight w:val="none"/>
        </w:rPr>
        <w:t>。</w:t>
      </w:r>
    </w:p>
    <w:p>
      <w:pPr>
        <w:pStyle w:val="5"/>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lang w:val="en-US" w:eastAsia="zh-CN"/>
        </w:rPr>
      </w:pPr>
      <w:r>
        <w:rPr>
          <w:rFonts w:hint="eastAsia" w:ascii="微软雅黑" w:hAnsi="微软雅黑" w:eastAsia="微软雅黑" w:cs="微软雅黑"/>
          <w:color w:val="666666"/>
          <w:sz w:val="18"/>
          <w:szCs w:val="18"/>
          <w:highlight w:val="none"/>
        </w:rPr>
        <w:t>　　</w:t>
      </w:r>
      <w:r>
        <w:rPr>
          <w:rFonts w:hint="eastAsia" w:ascii="微软雅黑" w:hAnsi="微软雅黑" w:eastAsia="微软雅黑" w:cs="微软雅黑"/>
          <w:color w:val="666666"/>
          <w:sz w:val="18"/>
          <w:szCs w:val="18"/>
          <w:highlight w:val="none"/>
          <w:lang w:val="en-US" w:eastAsia="zh-CN"/>
        </w:rPr>
        <w:t>该公司总体布局、生产工艺与设备布局合理；职业病危害因素控制有效；职业病危害防护设施设置符合要求、运转正常；个体防护用品发放全面、及时、合格；警示标识、辅助用室的设置符合相关法律、法规的要求；应急救援预案及措施得当，可以应对突发事故；管理制度、操作规程完整，管理措施符合相关法律、法规、标准、规范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NDgwZGJhYzJkNGI5ZTVmZDc1YzYwZjY2OWZiMWMifQ=="/>
  </w:docVars>
  <w:rsids>
    <w:rsidRoot w:val="1C1E0556"/>
    <w:rsid w:val="00641944"/>
    <w:rsid w:val="007B4D70"/>
    <w:rsid w:val="00C82F0E"/>
    <w:rsid w:val="00D16C93"/>
    <w:rsid w:val="00F7188F"/>
    <w:rsid w:val="123D5B6D"/>
    <w:rsid w:val="1C1E0556"/>
    <w:rsid w:val="4C72240A"/>
    <w:rsid w:val="73573522"/>
    <w:rsid w:val="79D74CE0"/>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Char"/>
    <w:basedOn w:val="1"/>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964</Words>
  <Characters>1007</Characters>
  <Lines>7</Lines>
  <Paragraphs>2</Paragraphs>
  <TotalTime>1</TotalTime>
  <ScaleCrop>false</ScaleCrop>
  <LinksUpToDate>false</LinksUpToDate>
  <CharactersWithSpaces>1036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2017-12-14T01:39:00Z</dcterms:created>
  <dc:creator>Administrator</dc:creator>
  <cp:lastModifiedBy>Administrator</cp:lastModifiedBy>
  <dcterms:modified xsi:type="dcterms:W3CDTF">2023-02-02T07:03:45Z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E058B81DDFF54FACA19A59072E33A3F7</vt:lpwstr>
  </property>
</Properties>
</file>