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7"/>
          <w:szCs w:val="27"/>
        </w:rPr>
      </w:pPr>
      <w:bookmarkStart w:id="0" w:name="_GoBack"/>
      <w:r>
        <w:rPr>
          <w:rFonts w:hint="eastAsia" w:ascii="微软雅黑" w:hAnsi="微软雅黑" w:eastAsia="微软雅黑" w:cs="微软雅黑"/>
          <w:b w:val="0"/>
          <w:i w:val="0"/>
          <w:caps w:val="0"/>
          <w:color w:val="666666"/>
          <w:spacing w:val="0"/>
          <w:sz w:val="27"/>
          <w:szCs w:val="27"/>
          <w:lang w:eastAsia="zh-CN"/>
        </w:rPr>
        <w:t>衡水凯亚化工</w:t>
      </w:r>
      <w:r>
        <w:rPr>
          <w:rFonts w:hint="eastAsia" w:ascii="微软雅黑" w:hAnsi="微软雅黑" w:eastAsia="微软雅黑" w:cs="微软雅黑"/>
          <w:b w:val="0"/>
          <w:i w:val="0"/>
          <w:caps w:val="0"/>
          <w:color w:val="666666"/>
          <w:spacing w:val="0"/>
          <w:sz w:val="27"/>
          <w:szCs w:val="27"/>
        </w:rPr>
        <w:t>有限公司职业病危害现状评价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rPr>
        <w:t>　</w:t>
      </w:r>
      <w:r>
        <w:rPr>
          <w:rFonts w:hint="eastAsia" w:ascii="微软雅黑" w:hAnsi="微软雅黑" w:eastAsia="微软雅黑" w:cs="微软雅黑"/>
          <w:b w:val="0"/>
          <w:i w:val="0"/>
          <w:caps w:val="0"/>
          <w:color w:val="666666"/>
          <w:spacing w:val="0"/>
          <w:sz w:val="18"/>
          <w:szCs w:val="18"/>
          <w:highlight w:val="none"/>
        </w:rPr>
        <w:t>　一、用人单位概况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　　用人单位名称：衡水凯亚化工有限公司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用人单位介绍：衡水凯亚化工有限公司成立于2006年8月18日，公司类型为有限责任公司，位于河北省武邑县苏正冀衡路9号，法定代表人为韩厚义，注册资本贰仟陆佰万元整，经营范围为生产、销售：氢气、丙酮、乙醇；光稳定剂、阻聚剂、抗氧剂、紫外线吸收剂、精制DM、癸二胺、尼龙1010、K尼龙、尼龙盐及其进出口贸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该公司现有5000t/a哌啶酮、4000t/a哌啶醇、500t/a哌啶胺、1000t/a 尼龙1010、100t/a K尼龙、200t/a G尼龙、300t/a尼龙盐、1500t/a癸二酸酯生产装置。其中：三车间（尼龙车间）年产尼龙1010 1000吨、K尼龙100吨、G尼龙200吨；四车间（哌啶车间）年产哌啶酮5000吨、哌啶醇4000吨；五车间（助剂车间）年产癸二酸酯1500吨、哌啶胺500吨。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该公司癸二酸下游系列衍生物（1.1万吨光稳定剂系列中间体项目和生产尼龙系列产品及年产1000吨癸二胺项目）及年产4000吨巯基杂环活性酯中间体二巯苯并噻唑联产2000吨甲酸项目（一期）于2015年12月通过了职业病防护设施竣工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原一车间二巯苯并噻唑已不再生产。现厂内新建七车间、罐区各一座，利用原有厂房对一车间进行可改造，年产5000吨癸二酸、四甲基哌啶酮下游系列衍生物项目正在履行职业病防护设施“三同时”手续，目前正在施工建设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　　二、评价组成员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　　项目负责人：</w:t>
      </w:r>
      <w:r>
        <w:rPr>
          <w:rFonts w:hint="eastAsia" w:ascii="微软雅黑" w:hAnsi="微软雅黑" w:eastAsia="微软雅黑" w:cs="微软雅黑"/>
          <w:b w:val="0"/>
          <w:i w:val="0"/>
          <w:caps w:val="0"/>
          <w:color w:val="666666"/>
          <w:spacing w:val="0"/>
          <w:sz w:val="18"/>
          <w:szCs w:val="18"/>
          <w:highlight w:val="none"/>
          <w:lang w:eastAsia="zh-CN"/>
        </w:rPr>
        <w:t>孙义敏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　　评价组成员：</w:t>
      </w:r>
      <w:r>
        <w:rPr>
          <w:rFonts w:hint="eastAsia" w:ascii="微软雅黑" w:hAnsi="微软雅黑" w:eastAsia="微软雅黑" w:cs="微软雅黑"/>
          <w:b w:val="0"/>
          <w:i w:val="0"/>
          <w:caps w:val="0"/>
          <w:color w:val="666666"/>
          <w:spacing w:val="0"/>
          <w:sz w:val="18"/>
          <w:szCs w:val="18"/>
          <w:highlight w:val="none"/>
          <w:lang w:eastAsia="zh-CN"/>
        </w:rPr>
        <w:t>刘盼、梁杰、孙玉燊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　　三、用人单位存在的职业病危害因素及检测结果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　　(1)职业病危害因素识别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通过对生产原辅材料、成品及中间产品种类，可能产生职业危害的设备，生产工艺过程，劳动过程，生产环境等方面进行分析辨识，该企业存在的职业病危害因素：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化学有害物质：氨、氢氧化钾、镍、丙酮、氢氧化钠、甲醇、臭氧、氮氧化物、一氧化碳、锰及其化合物；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粉尘：其他粉尘、电焊烟尘；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物理因素：高温、噪声、紫外辐射。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　　作业场所的职业病危害因素检测结果均符合国家职业接触限值的规定。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　　四、评价结论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lang w:eastAsia="zh-CN"/>
        </w:rPr>
      </w:pPr>
      <w:r>
        <w:rPr>
          <w:rFonts w:hint="eastAsia" w:ascii="微软雅黑" w:hAnsi="微软雅黑" w:eastAsia="微软雅黑" w:cs="微软雅黑"/>
          <w:b w:val="0"/>
          <w:i w:val="0"/>
          <w:caps w:val="0"/>
          <w:color w:val="666666"/>
          <w:spacing w:val="0"/>
          <w:sz w:val="18"/>
          <w:szCs w:val="18"/>
          <w:highlight w:val="none"/>
        </w:rPr>
        <w:t>(1)</w:t>
      </w:r>
      <w:r>
        <w:rPr>
          <w:rFonts w:hint="eastAsia" w:ascii="微软雅黑" w:hAnsi="微软雅黑" w:eastAsia="微软雅黑" w:cs="微软雅黑"/>
          <w:b w:val="0"/>
          <w:i w:val="0"/>
          <w:caps w:val="0"/>
          <w:color w:val="666666"/>
          <w:spacing w:val="0"/>
          <w:sz w:val="18"/>
          <w:szCs w:val="18"/>
          <w:highlight w:val="none"/>
          <w:lang w:eastAsia="zh-CN"/>
        </w:rPr>
        <w:t>职业病危害风险分类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根据《国民经济行业分类》（GB/T4754-2017），该公司属于“专用化学产品制造”。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根据《关于公布建设项目职业病危害风险分类管理目录（2012版）的通知》（安监总安健[2012]73号），专用化学产品制造的职业病危害风险分类为严重。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60" w:firstLineChars="200"/>
        <w:textAlignment w:val="auto"/>
        <w:outlineLvl w:val="9"/>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rPr>
        <w:t>根据《河北省安全监管局转发国家安全监管总局关于公布建设项目职业病危害风险分类管理目录（2012年版）的通知》（冀安监管职健〔2012〕90号）及该公司的实际情况，最终判定，衡水凯亚化工有限公司职业病危害风险分类为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highlight w:val="none"/>
          <w:lang w:eastAsia="zh-CN"/>
        </w:rPr>
      </w:pPr>
      <w:r>
        <w:rPr>
          <w:rFonts w:hint="eastAsia" w:ascii="微软雅黑" w:hAnsi="微软雅黑" w:eastAsia="微软雅黑" w:cs="微软雅黑"/>
          <w:b w:val="0"/>
          <w:i w:val="0"/>
          <w:caps w:val="0"/>
          <w:color w:val="666666"/>
          <w:spacing w:val="0"/>
          <w:sz w:val="18"/>
          <w:szCs w:val="18"/>
          <w:highlight w:val="none"/>
        </w:rPr>
        <w:t>　　(2)</w:t>
      </w:r>
      <w:r>
        <w:rPr>
          <w:rFonts w:hint="eastAsia" w:ascii="微软雅黑" w:hAnsi="微软雅黑" w:eastAsia="微软雅黑" w:cs="微软雅黑"/>
          <w:b w:val="0"/>
          <w:i w:val="0"/>
          <w:caps w:val="0"/>
          <w:color w:val="666666"/>
          <w:spacing w:val="0"/>
          <w:sz w:val="18"/>
          <w:szCs w:val="18"/>
          <w:highlight w:val="none"/>
          <w:lang w:eastAsia="zh-CN"/>
        </w:rPr>
        <w:t>总体结论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highlight w:val="none"/>
        </w:rPr>
      </w:pPr>
      <w:r>
        <w:rPr>
          <w:rFonts w:hint="eastAsia" w:ascii="微软雅黑" w:hAnsi="微软雅黑" w:eastAsia="微软雅黑" w:cs="微软雅黑"/>
          <w:b w:val="0"/>
          <w:i w:val="0"/>
          <w:caps w:val="0"/>
          <w:color w:val="666666"/>
          <w:spacing w:val="0"/>
          <w:sz w:val="18"/>
          <w:szCs w:val="18"/>
          <w:highlight w:val="none"/>
          <w:lang w:eastAsia="zh-CN"/>
        </w:rPr>
        <w:t>该公司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总体评价，衡水凯亚化工有限公司职业卫生管理符合相关法律法规及标准规范的要求</w:t>
      </w:r>
      <w:r>
        <w:rPr>
          <w:rFonts w:hint="eastAsia" w:ascii="微软雅黑" w:hAnsi="微软雅黑" w:eastAsia="微软雅黑" w:cs="微软雅黑"/>
          <w:b w:val="0"/>
          <w:i w:val="0"/>
          <w:caps w:val="0"/>
          <w:color w:val="666666"/>
          <w:spacing w:val="0"/>
          <w:sz w:val="18"/>
          <w:szCs w:val="18"/>
          <w:highlight w:val="none"/>
        </w:rPr>
        <w:t>。</w:t>
      </w: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E0556"/>
    <w:rsid w:val="1C1E0556"/>
    <w:rsid w:val="269F3D94"/>
    <w:rsid w:val="5BB205CC"/>
    <w:rsid w:val="735735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Administrator</cp:lastModifiedBy>
  <dcterms:modified xsi:type="dcterms:W3CDTF">2019-02-13T05:29:58Z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